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44" w:rsidRPr="00DC1AB6" w:rsidRDefault="00DC1AB6" w:rsidP="005D7044">
      <w:pPr>
        <w:jc w:val="center"/>
        <w:rPr>
          <w:rFonts w:cs="Arial"/>
          <w:color w:val="545454"/>
          <w:shd w:val="clear" w:color="auto" w:fill="FFFFFF"/>
          <w:lang w:val="en-US"/>
        </w:rPr>
      </w:pPr>
      <w:r w:rsidRPr="00DC1AB6">
        <w:rPr>
          <w:rFonts w:cs="Arial"/>
          <w:color w:val="545454"/>
          <w:shd w:val="clear" w:color="auto" w:fill="FFFFFF"/>
          <w:lang w:val="en-US"/>
        </w:rPr>
        <w:t xml:space="preserve">2019 </w:t>
      </w:r>
      <w:r w:rsidR="005D7044" w:rsidRPr="00DC1AB6">
        <w:rPr>
          <w:rFonts w:cs="Arial"/>
          <w:color w:val="545454"/>
          <w:shd w:val="clear" w:color="auto" w:fill="FFFFFF"/>
          <w:lang w:val="en-US"/>
        </w:rPr>
        <w:t xml:space="preserve">World Congress of </w:t>
      </w:r>
    </w:p>
    <w:p w:rsidR="005D7044" w:rsidRPr="00DC1AB6" w:rsidRDefault="005D7044" w:rsidP="005D7044">
      <w:pPr>
        <w:jc w:val="center"/>
        <w:rPr>
          <w:rFonts w:cs="Arial"/>
          <w:color w:val="545454"/>
          <w:shd w:val="clear" w:color="auto" w:fill="FFFFFF"/>
          <w:lang w:val="en-US"/>
        </w:rPr>
      </w:pPr>
      <w:proofErr w:type="gramStart"/>
      <w:r w:rsidRPr="00DC1AB6">
        <w:rPr>
          <w:rFonts w:cs="Arial"/>
          <w:color w:val="545454"/>
          <w:shd w:val="clear" w:color="auto" w:fill="FFFFFF"/>
          <w:lang w:val="en-US"/>
        </w:rPr>
        <w:t>the</w:t>
      </w:r>
      <w:proofErr w:type="gramEnd"/>
      <w:r w:rsidRPr="00DC1AB6">
        <w:rPr>
          <w:rFonts w:cs="Arial"/>
          <w:color w:val="545454"/>
          <w:shd w:val="clear" w:color="auto" w:fill="FFFFFF"/>
          <w:lang w:val="en-US"/>
        </w:rPr>
        <w:t xml:space="preserve"> International Association for </w:t>
      </w:r>
    </w:p>
    <w:p w:rsidR="006071B3" w:rsidRPr="00DC1AB6" w:rsidRDefault="005D7044" w:rsidP="005D7044">
      <w:pPr>
        <w:jc w:val="center"/>
        <w:rPr>
          <w:rFonts w:cs="Arial"/>
          <w:color w:val="545454"/>
          <w:shd w:val="clear" w:color="auto" w:fill="FFFFFF"/>
          <w:lang w:val="en-US"/>
        </w:rPr>
      </w:pPr>
      <w:proofErr w:type="gramStart"/>
      <w:r w:rsidRPr="00DC1AB6">
        <w:rPr>
          <w:rFonts w:cs="Arial"/>
          <w:color w:val="545454"/>
          <w:shd w:val="clear" w:color="auto" w:fill="FFFFFF"/>
          <w:lang w:val="en-US"/>
        </w:rPr>
        <w:t>the</w:t>
      </w:r>
      <w:proofErr w:type="gramEnd"/>
      <w:r w:rsidRPr="00DC1AB6">
        <w:rPr>
          <w:rFonts w:cs="Arial"/>
          <w:color w:val="545454"/>
          <w:shd w:val="clear" w:color="auto" w:fill="FFFFFF"/>
          <w:lang w:val="en-US"/>
        </w:rPr>
        <w:t xml:space="preserve"> Philosophy of Law and Social Philosophy</w:t>
      </w:r>
    </w:p>
    <w:p w:rsidR="00DC1AB6" w:rsidRPr="00DC1AB6" w:rsidRDefault="00DC1AB6" w:rsidP="00DC1AB6">
      <w:pPr>
        <w:ind w:left="3540" w:firstLine="708"/>
        <w:rPr>
          <w:lang w:val="en-US"/>
        </w:rPr>
      </w:pPr>
      <w:r w:rsidRPr="00DC1AB6">
        <w:rPr>
          <w:lang w:val="en-US"/>
        </w:rPr>
        <w:t>Lucerne</w:t>
      </w:r>
    </w:p>
    <w:p w:rsidR="005D7044" w:rsidRPr="00DC1AB6" w:rsidRDefault="005D7044" w:rsidP="005D7044">
      <w:pPr>
        <w:jc w:val="center"/>
        <w:rPr>
          <w:lang w:val="en-US"/>
        </w:rPr>
      </w:pPr>
    </w:p>
    <w:p w:rsidR="006071B3" w:rsidRPr="00DC1AB6" w:rsidRDefault="006071B3" w:rsidP="005D7044">
      <w:pPr>
        <w:jc w:val="center"/>
        <w:rPr>
          <w:b/>
          <w:bCs/>
          <w:snapToGrid/>
          <w:color w:val="000000"/>
          <w:sz w:val="28"/>
          <w:szCs w:val="28"/>
          <w:lang w:val="en-US" w:eastAsia="en-US"/>
        </w:rPr>
      </w:pPr>
      <w:r w:rsidRPr="00DC1AB6">
        <w:rPr>
          <w:b/>
          <w:bCs/>
          <w:snapToGrid/>
          <w:color w:val="000000"/>
          <w:sz w:val="28"/>
          <w:szCs w:val="28"/>
          <w:lang w:val="en-US" w:eastAsia="en-US"/>
        </w:rPr>
        <w:t xml:space="preserve">Special workshop No 91 </w:t>
      </w:r>
      <w:proofErr w:type="gramStart"/>
      <w:r w:rsidRPr="00DC1AB6">
        <w:rPr>
          <w:b/>
          <w:bCs/>
          <w:snapToGrid/>
          <w:color w:val="000000"/>
          <w:sz w:val="28"/>
          <w:szCs w:val="28"/>
          <w:lang w:val="en-US" w:eastAsia="en-US"/>
        </w:rPr>
        <w:t>The</w:t>
      </w:r>
      <w:proofErr w:type="gramEnd"/>
      <w:r w:rsidRPr="00DC1AB6">
        <w:rPr>
          <w:b/>
          <w:bCs/>
          <w:snapToGrid/>
          <w:color w:val="000000"/>
          <w:sz w:val="28"/>
          <w:szCs w:val="28"/>
          <w:lang w:val="en-US" w:eastAsia="en-US"/>
        </w:rPr>
        <w:t xml:space="preserve"> Legitimacy of International Courts</w:t>
      </w:r>
    </w:p>
    <w:p w:rsidR="0028555A" w:rsidRDefault="003830D1" w:rsidP="005D7044">
      <w:pPr>
        <w:jc w:val="center"/>
        <w:rPr>
          <w:b/>
          <w:bCs/>
          <w:snapToGrid/>
          <w:color w:val="000000"/>
          <w:sz w:val="28"/>
          <w:szCs w:val="28"/>
          <w:lang w:val="en-US" w:eastAsia="en-US"/>
        </w:rPr>
      </w:pPr>
      <w:r>
        <w:rPr>
          <w:b/>
          <w:bCs/>
          <w:snapToGrid/>
          <w:color w:val="000000"/>
          <w:sz w:val="28"/>
          <w:szCs w:val="28"/>
          <w:lang w:val="en-US" w:eastAsia="en-US"/>
        </w:rPr>
        <w:t xml:space="preserve">July 9, </w:t>
      </w:r>
      <w:r w:rsidR="00B24C21">
        <w:rPr>
          <w:b/>
          <w:bCs/>
          <w:snapToGrid/>
          <w:color w:val="000000"/>
          <w:sz w:val="28"/>
          <w:szCs w:val="28"/>
          <w:lang w:val="en-US" w:eastAsia="en-US"/>
        </w:rPr>
        <w:t xml:space="preserve">2019 -- </w:t>
      </w:r>
      <w:r w:rsidR="0028555A" w:rsidRPr="00DC1AB6">
        <w:rPr>
          <w:b/>
          <w:bCs/>
          <w:snapToGrid/>
          <w:color w:val="000000"/>
          <w:sz w:val="28"/>
          <w:szCs w:val="28"/>
          <w:lang w:val="en-US" w:eastAsia="en-US"/>
        </w:rPr>
        <w:t xml:space="preserve">Draft </w:t>
      </w:r>
      <w:proofErr w:type="spellStart"/>
      <w:r w:rsidR="0028555A" w:rsidRPr="00DC1AB6">
        <w:rPr>
          <w:b/>
          <w:bCs/>
          <w:snapToGrid/>
          <w:color w:val="000000"/>
          <w:sz w:val="28"/>
          <w:szCs w:val="28"/>
          <w:lang w:val="en-US" w:eastAsia="en-US"/>
        </w:rPr>
        <w:t>programme</w:t>
      </w:r>
      <w:proofErr w:type="spellEnd"/>
    </w:p>
    <w:p w:rsidR="00025B4A" w:rsidRPr="00025B4A" w:rsidRDefault="00025B4A" w:rsidP="005D7044">
      <w:pPr>
        <w:jc w:val="center"/>
        <w:rPr>
          <w:rFonts w:ascii="Times New Roman" w:hAnsi="Times New Roman"/>
          <w:b/>
          <w:bCs/>
          <w:snapToGrid/>
          <w:sz w:val="28"/>
          <w:szCs w:val="28"/>
          <w:lang w:val="en-US" w:eastAsia="en-US"/>
        </w:rPr>
      </w:pPr>
      <w:r w:rsidRPr="00025B4A">
        <w:rPr>
          <w:rFonts w:ascii="Times New Roman" w:hAnsi="Times New Roman"/>
          <w:sz w:val="20"/>
          <w:lang w:val="en-US"/>
        </w:rPr>
        <w:t xml:space="preserve">14.00-18.30, </w:t>
      </w:r>
      <w:proofErr w:type="spellStart"/>
      <w:r w:rsidRPr="00025B4A">
        <w:rPr>
          <w:rFonts w:ascii="Times New Roman" w:hAnsi="Times New Roman"/>
          <w:sz w:val="20"/>
          <w:lang w:val="en-US"/>
        </w:rPr>
        <w:t>Museggstrasse</w:t>
      </w:r>
      <w:proofErr w:type="spellEnd"/>
      <w:r w:rsidRPr="00025B4A">
        <w:rPr>
          <w:rFonts w:ascii="Times New Roman" w:hAnsi="Times New Roman"/>
          <w:sz w:val="20"/>
          <w:lang w:val="en-US"/>
        </w:rPr>
        <w:t xml:space="preserve"> 313</w:t>
      </w:r>
    </w:p>
    <w:p w:rsidR="00FD02AF" w:rsidRPr="00DC1AB6" w:rsidRDefault="00FD02AF" w:rsidP="00FD02AF">
      <w:pPr>
        <w:jc w:val="center"/>
        <w:rPr>
          <w:lang w:val="en-US"/>
        </w:rPr>
      </w:pPr>
      <w:proofErr w:type="spellStart"/>
      <w:r w:rsidRPr="00DC1AB6">
        <w:rPr>
          <w:lang w:val="en-US"/>
        </w:rPr>
        <w:t>Convenor</w:t>
      </w:r>
      <w:proofErr w:type="spellEnd"/>
      <w:r w:rsidRPr="00DC1AB6">
        <w:rPr>
          <w:lang w:val="en-US"/>
        </w:rPr>
        <w:t>: Andreas Follesdal, PluriCourts, University of Oslo</w:t>
      </w:r>
    </w:p>
    <w:p w:rsidR="00FD02AF" w:rsidRDefault="00FD02AF" w:rsidP="00FD02AF">
      <w:pPr>
        <w:rPr>
          <w:lang w:val="en-US"/>
        </w:rPr>
      </w:pPr>
    </w:p>
    <w:p w:rsidR="00FD02AF" w:rsidRDefault="00FD02AF" w:rsidP="00FD02AF">
      <w:pPr>
        <w:rPr>
          <w:lang w:val="en-US"/>
        </w:rPr>
      </w:pPr>
      <w:r w:rsidRPr="00721C7E">
        <w:rPr>
          <w:lang w:val="en-US"/>
        </w:rPr>
        <w:t xml:space="preserve">States have established </w:t>
      </w:r>
      <w:r>
        <w:rPr>
          <w:lang w:val="en-US"/>
        </w:rPr>
        <w:t>several</w:t>
      </w:r>
      <w:r w:rsidRPr="00721C7E">
        <w:rPr>
          <w:lang w:val="en-US"/>
        </w:rPr>
        <w:t xml:space="preserve"> regional and international courts and tribunals (ICs) to resolve disputes, interpret treaties,</w:t>
      </w:r>
      <w:r>
        <w:rPr>
          <w:lang w:val="en-US"/>
        </w:rPr>
        <w:t xml:space="preserve"> and deter illegal behavior, for </w:t>
      </w:r>
      <w:r w:rsidRPr="00721C7E">
        <w:rPr>
          <w:lang w:val="en-US"/>
        </w:rPr>
        <w:t xml:space="preserve">a range of issues including: human rights, trade, investment and international crimes. But </w:t>
      </w:r>
      <w:r>
        <w:rPr>
          <w:lang w:val="en-US"/>
        </w:rPr>
        <w:t xml:space="preserve">we witness protests and even calls to exit or close down ICs, often by reference to their lack of democratic accountability or insufficient respect for diversity: </w:t>
      </w:r>
      <w:r w:rsidRPr="00721C7E">
        <w:rPr>
          <w:lang w:val="en-US"/>
        </w:rPr>
        <w:t xml:space="preserve">African states </w:t>
      </w:r>
      <w:r>
        <w:rPr>
          <w:lang w:val="en-US"/>
        </w:rPr>
        <w:t>are concerned about the</w:t>
      </w:r>
      <w:r w:rsidRPr="00721C7E">
        <w:rPr>
          <w:lang w:val="en-US"/>
        </w:rPr>
        <w:t xml:space="preserve"> International Criminal </w:t>
      </w:r>
      <w:r>
        <w:rPr>
          <w:lang w:val="en-US"/>
        </w:rPr>
        <w:t xml:space="preserve">Court (ICC), the UK </w:t>
      </w: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 xml:space="preserve"> from the EU is partly due to</w:t>
      </w:r>
      <w:r w:rsidRPr="00721C7E">
        <w:rPr>
          <w:lang w:val="en-US"/>
        </w:rPr>
        <w:t xml:space="preserve"> the Court of Justic</w:t>
      </w:r>
      <w:r>
        <w:rPr>
          <w:lang w:val="en-US"/>
        </w:rPr>
        <w:t>e of the European Union (CJEU), and s</w:t>
      </w:r>
      <w:r w:rsidRPr="00721C7E">
        <w:rPr>
          <w:lang w:val="en-US"/>
        </w:rPr>
        <w:t>everal countries discuss</w:t>
      </w:r>
      <w:r>
        <w:rPr>
          <w:lang w:val="en-US"/>
        </w:rPr>
        <w:t xml:space="preserve"> leaving</w:t>
      </w:r>
      <w:r w:rsidRPr="00721C7E">
        <w:rPr>
          <w:lang w:val="en-US"/>
        </w:rPr>
        <w:t xml:space="preserve"> the European Court of Human Rights (</w:t>
      </w:r>
      <w:proofErr w:type="spellStart"/>
      <w:r w:rsidRPr="00721C7E">
        <w:rPr>
          <w:lang w:val="en-US"/>
        </w:rPr>
        <w:t>ECtHR</w:t>
      </w:r>
      <w:proofErr w:type="spellEnd"/>
      <w:r w:rsidRPr="00721C7E">
        <w:rPr>
          <w:lang w:val="en-US"/>
        </w:rPr>
        <w:t>)</w:t>
      </w:r>
      <w:r>
        <w:rPr>
          <w:lang w:val="en-US"/>
        </w:rPr>
        <w:t xml:space="preserve"> or the Inter-American Court of Human Rights (</w:t>
      </w:r>
      <w:proofErr w:type="spellStart"/>
      <w:r>
        <w:rPr>
          <w:lang w:val="en-US"/>
        </w:rPr>
        <w:t>IACtHR</w:t>
      </w:r>
      <w:proofErr w:type="spellEnd"/>
      <w:r>
        <w:rPr>
          <w:lang w:val="en-US"/>
        </w:rPr>
        <w:t>)</w:t>
      </w:r>
      <w:r w:rsidRPr="00721C7E">
        <w:rPr>
          <w:lang w:val="en-US"/>
        </w:rPr>
        <w:t xml:space="preserve">. </w:t>
      </w:r>
    </w:p>
    <w:p w:rsidR="00FD02AF" w:rsidRDefault="00FD02AF" w:rsidP="00FD02AF">
      <w:pPr>
        <w:rPr>
          <w:lang w:val="en-US"/>
        </w:rPr>
      </w:pPr>
    </w:p>
    <w:p w:rsidR="00FD02AF" w:rsidRDefault="00FD02AF" w:rsidP="00FD02AF">
      <w:pPr>
        <w:rPr>
          <w:lang w:val="en-US"/>
        </w:rPr>
      </w:pPr>
      <w:r>
        <w:rPr>
          <w:lang w:val="en-US"/>
        </w:rPr>
        <w:t>What are t</w:t>
      </w:r>
      <w:r w:rsidRPr="00721C7E">
        <w:rPr>
          <w:lang w:val="en-US"/>
        </w:rPr>
        <w:t>he legitimate present and future roles of this international judic</w:t>
      </w:r>
      <w:r>
        <w:rPr>
          <w:lang w:val="en-US"/>
        </w:rPr>
        <w:t xml:space="preserve">iary in the global legal order? </w:t>
      </w:r>
      <w:r w:rsidRPr="00721C7E">
        <w:rPr>
          <w:lang w:val="en-US"/>
        </w:rPr>
        <w:t>Why and when are these international courts and tribunals legitimate authorities, whose decisions should enjoy deference by ‘compliance communities’: international, regional and domestic authorities, individuals, companies and other non-state actors?</w:t>
      </w:r>
    </w:p>
    <w:p w:rsidR="00FD02AF" w:rsidRDefault="00FD02AF" w:rsidP="00FD02AF">
      <w:pPr>
        <w:rPr>
          <w:lang w:val="en-US"/>
        </w:rPr>
      </w:pPr>
    </w:p>
    <w:p w:rsidR="00FD02AF" w:rsidRDefault="00FD02AF" w:rsidP="00FD02AF">
      <w:pPr>
        <w:rPr>
          <w:lang w:val="en-US"/>
        </w:rPr>
      </w:pPr>
      <w:r>
        <w:rPr>
          <w:lang w:val="en-US"/>
        </w:rPr>
        <w:t xml:space="preserve">The workshop invites </w:t>
      </w:r>
      <w:r w:rsidRPr="00721C7E">
        <w:rPr>
          <w:lang w:val="en-US"/>
        </w:rPr>
        <w:t>critical reflection about the most salient concepts and standards of legitimacy</w:t>
      </w:r>
      <w:r>
        <w:rPr>
          <w:lang w:val="en-US"/>
        </w:rPr>
        <w:t xml:space="preserve"> for ICs</w:t>
      </w:r>
      <w:r w:rsidRPr="00721C7E">
        <w:rPr>
          <w:lang w:val="en-US"/>
        </w:rPr>
        <w:t>, and a focus on the three main clus</w:t>
      </w:r>
      <w:r>
        <w:rPr>
          <w:lang w:val="en-US"/>
        </w:rPr>
        <w:t>ters of charges of illegitimacy:</w:t>
      </w:r>
    </w:p>
    <w:p w:rsidR="00FD02AF" w:rsidRDefault="00FD02AF" w:rsidP="00FD02AF">
      <w:pPr>
        <w:rPr>
          <w:lang w:val="en-US"/>
        </w:rPr>
      </w:pPr>
      <w:r>
        <w:rPr>
          <w:lang w:val="en-US"/>
        </w:rPr>
        <w:t>-</w:t>
      </w:r>
      <w:r w:rsidRPr="00721C7E">
        <w:rPr>
          <w:lang w:val="en-US"/>
        </w:rPr>
        <w:t xml:space="preserve"> Criticisms concern the multi-level separation</w:t>
      </w:r>
      <w:r>
        <w:rPr>
          <w:lang w:val="en-US"/>
        </w:rPr>
        <w:t xml:space="preserve"> of authority to and among ICs</w:t>
      </w:r>
    </w:p>
    <w:p w:rsidR="00FD02AF" w:rsidRDefault="00FD02AF" w:rsidP="00FD02AF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721C7E">
        <w:rPr>
          <w:lang w:val="en-US"/>
        </w:rPr>
        <w:t>the</w:t>
      </w:r>
      <w:proofErr w:type="gramEnd"/>
      <w:r w:rsidRPr="00721C7E">
        <w:rPr>
          <w:lang w:val="en-US"/>
        </w:rPr>
        <w:t xml:space="preserve"> proper checks and balances on ICs’ functioning; and </w:t>
      </w:r>
    </w:p>
    <w:p w:rsidR="00FD02AF" w:rsidRDefault="00FD02AF" w:rsidP="00FD02AF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well the ICs perform</w:t>
      </w:r>
    </w:p>
    <w:p w:rsidR="00FD02AF" w:rsidRDefault="00FD02AF" w:rsidP="00FD02AF">
      <w:pPr>
        <w:rPr>
          <w:lang w:val="en-US"/>
        </w:rPr>
      </w:pPr>
    </w:p>
    <w:p w:rsidR="00FD02AF" w:rsidRDefault="00FD02AF" w:rsidP="00FD02AF">
      <w:pPr>
        <w:rPr>
          <w:lang w:val="en-US"/>
        </w:rPr>
      </w:pPr>
      <w:r>
        <w:rPr>
          <w:lang w:val="en-US"/>
        </w:rPr>
        <w:t xml:space="preserve">Those topics lead to </w:t>
      </w:r>
      <w:r w:rsidRPr="00721C7E">
        <w:rPr>
          <w:lang w:val="en-US"/>
        </w:rPr>
        <w:t>two</w:t>
      </w:r>
      <w:r>
        <w:rPr>
          <w:lang w:val="en-US"/>
        </w:rPr>
        <w:t xml:space="preserve"> further overarching questions</w:t>
      </w:r>
      <w:r w:rsidRPr="00721C7E">
        <w:rPr>
          <w:lang w:val="en-US"/>
        </w:rPr>
        <w:t xml:space="preserve">: When are ICs more suitable than alternatives? What are best practices and models for improvements for each IC, duly cognizant of their differences? </w:t>
      </w:r>
    </w:p>
    <w:p w:rsidR="00FD02AF" w:rsidRDefault="00FD02AF" w:rsidP="00FD02AF">
      <w:pPr>
        <w:rPr>
          <w:lang w:val="en-US"/>
        </w:rPr>
      </w:pPr>
      <w:r>
        <w:rPr>
          <w:lang w:val="en-US"/>
        </w:rPr>
        <w:t xml:space="preserve">For more extensive presentation of these themes, check the Research Plan of PluriCourts, </w:t>
      </w:r>
      <w:hyperlink r:id="rId8" w:history="1">
        <w:r w:rsidR="008C71BE" w:rsidRPr="00BA7F88">
          <w:rPr>
            <w:rStyle w:val="Hyperlink"/>
            <w:lang w:val="en-US"/>
          </w:rPr>
          <w:t>www.pluricourts.no/about/research-plan-2.0.pdf</w:t>
        </w:r>
      </w:hyperlink>
    </w:p>
    <w:p w:rsidR="00DC1AB6" w:rsidRDefault="00DC1AB6">
      <w:pPr>
        <w:widowControl/>
        <w:rPr>
          <w:lang w:val="en-US"/>
        </w:rPr>
      </w:pPr>
      <w:r>
        <w:rPr>
          <w:lang w:val="en-US"/>
        </w:rPr>
        <w:br w:type="page"/>
      </w:r>
    </w:p>
    <w:p w:rsidR="008C71BE" w:rsidRDefault="008C71BE" w:rsidP="00FD02AF">
      <w:pPr>
        <w:rPr>
          <w:sz w:val="32"/>
          <w:lang w:val="en-US"/>
        </w:rPr>
      </w:pPr>
      <w:r w:rsidRPr="00DC1AB6">
        <w:rPr>
          <w:sz w:val="32"/>
          <w:lang w:val="en-US"/>
        </w:rPr>
        <w:lastRenderedPageBreak/>
        <w:t>Program – provisional</w:t>
      </w:r>
    </w:p>
    <w:p w:rsidR="00D879F2" w:rsidRPr="001176EE" w:rsidRDefault="00D879F2" w:rsidP="00FD02AF">
      <w:pPr>
        <w:rPr>
          <w:sz w:val="22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990"/>
        <w:gridCol w:w="1701"/>
        <w:gridCol w:w="1843"/>
        <w:gridCol w:w="4536"/>
      </w:tblGrid>
      <w:tr w:rsidR="005C70C5" w:rsidRPr="00025B4A" w:rsidTr="00FB6274">
        <w:trPr>
          <w:gridAfter w:val="1"/>
          <w:wAfter w:w="4536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70C5" w:rsidRDefault="005C70C5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5" w:rsidRPr="005C70C5" w:rsidRDefault="005C70C5" w:rsidP="00025B4A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28"/>
                <w:szCs w:val="28"/>
                <w:lang w:val="en-US" w:eastAsia="en-US"/>
              </w:rPr>
            </w:pPr>
            <w:r w:rsidRPr="005C70C5">
              <w:rPr>
                <w:rFonts w:asciiTheme="minorHAnsi" w:hAnsiTheme="minorHAnsi"/>
                <w:b/>
                <w:bCs/>
                <w:snapToGrid/>
                <w:color w:val="000000"/>
                <w:sz w:val="28"/>
                <w:szCs w:val="28"/>
                <w:lang w:val="en-US" w:eastAsia="en-US"/>
              </w:rPr>
              <w:t xml:space="preserve">Tuesday July 9, </w:t>
            </w:r>
            <w:r w:rsidR="00025B4A" w:rsidRPr="00025B4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14.</w:t>
            </w:r>
            <w:r w:rsidR="00025B4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00-18.3</w:t>
            </w:r>
            <w:r w:rsidRPr="00025B4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0</w:t>
            </w:r>
            <w:r w:rsidRPr="005C70C5">
              <w:rPr>
                <w:rFonts w:asciiTheme="minorHAnsi" w:hAnsiTheme="minorHAnsi"/>
                <w:b/>
                <w:bCs/>
                <w:snapToGrid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F917B4" w:rsidRPr="00025B4A" w:rsidTr="00FB6274">
        <w:trPr>
          <w:gridAfter w:val="1"/>
          <w:wAfter w:w="4536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17B4" w:rsidRDefault="00F917B4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3EA2" w:rsidRDefault="001C2136" w:rsidP="00BE0696">
            <w:pPr>
              <w:widowControl/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 xml:space="preserve">10 minutes presentation, 10 </w:t>
            </w:r>
            <w:r w:rsidR="00BE0696"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 xml:space="preserve">minutes </w:t>
            </w:r>
            <w:r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>comments, 10 minutes discussion</w:t>
            </w:r>
            <w:r w:rsidR="00BE0696"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BE0696"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 xml:space="preserve">-  </w:t>
            </w:r>
            <w:bookmarkStart w:id="0" w:name="_GoBack"/>
            <w:bookmarkEnd w:id="0"/>
            <w:r w:rsidR="00BE0696"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>and</w:t>
            </w:r>
            <w:proofErr w:type="gramEnd"/>
            <w:r w:rsidR="00BE0696"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 xml:space="preserve"> SHORT breaks</w:t>
            </w:r>
            <w:r w:rsidR="001B3EA2" w:rsidRPr="001B3EA2"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  <w:p w:rsidR="00F917B4" w:rsidRPr="001B3EA2" w:rsidRDefault="001B3EA2" w:rsidP="00BE0696">
            <w:pPr>
              <w:widowControl/>
              <w:rPr>
                <w:rFonts w:asciiTheme="minorHAnsi" w:hAnsiTheme="minorHAnsi"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1B3EA2">
              <w:rPr>
                <w:rFonts w:ascii="GandhiSans-Regular" w:hAnsi="GandhiSans-Regular" w:cs="GandhiSans-Regular"/>
                <w:snapToGrid/>
                <w:sz w:val="22"/>
                <w:szCs w:val="22"/>
                <w:lang w:val="en-US"/>
              </w:rPr>
              <w:t>16.00-16.30 Coffee Break</w:t>
            </w:r>
          </w:p>
        </w:tc>
      </w:tr>
      <w:tr w:rsidR="00F917B4" w:rsidRPr="00025B4A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17B4" w:rsidRPr="00A53AA8" w:rsidRDefault="00F917B4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7B4" w:rsidRPr="00A53AA8" w:rsidRDefault="00CB31A0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Andreas Follesdal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7B4" w:rsidRPr="00A53AA8" w:rsidRDefault="00CB31A0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PluriCourts, Oslo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7B4" w:rsidRPr="00A53AA8" w:rsidRDefault="00CB31A0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Introduction</w:t>
            </w:r>
          </w:p>
        </w:tc>
      </w:tr>
      <w:tr w:rsidR="00F917B4" w:rsidRPr="001B3EA2" w:rsidTr="00010B80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17B4" w:rsidRPr="00A53AA8" w:rsidRDefault="00F917B4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7B4" w:rsidRPr="00F917B4" w:rsidRDefault="00F917B4" w:rsidP="006071B3">
            <w:pPr>
              <w:widowControl/>
              <w:rPr>
                <w:rFonts w:ascii="Calibri" w:hAnsi="Calibri"/>
                <w:b/>
                <w:snapToGrid/>
                <w:color w:val="000000"/>
                <w:sz w:val="20"/>
                <w:lang w:val="en-US" w:eastAsia="en-US"/>
              </w:rPr>
            </w:pPr>
            <w:r w:rsidRPr="00F917B4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US" w:eastAsia="en-US"/>
              </w:rPr>
              <w:t>Conceptions of Legitimacy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7B4" w:rsidRPr="00A53AA8" w:rsidRDefault="00F917B4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</w:p>
        </w:tc>
      </w:tr>
      <w:tr w:rsidR="00A53AA8" w:rsidRPr="00075607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Antoinette Scherz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PluriCourts, Oslo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Legitimacy of International Courts and Reasons to Comply</w:t>
            </w:r>
          </w:p>
          <w:p w:rsidR="000B5D78" w:rsidRPr="00A53AA8" w:rsidRDefault="00FE7A38" w:rsidP="004507E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Prepared Comments: Lando Kirchmair</w:t>
            </w:r>
          </w:p>
        </w:tc>
      </w:tr>
      <w:tr w:rsidR="00A53AA8" w:rsidRPr="005C70C5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Andreas Kulick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proofErr w:type="spellStart"/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Tübingen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Democratic Legitimacy of International Courts: The Misplaced Disregard of Form</w:t>
            </w:r>
          </w:p>
          <w:p w:rsidR="000B5D78" w:rsidRPr="00A53AA8" w:rsidRDefault="000B5D7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Prepared Comments: </w:t>
            </w:r>
            <w:r w:rsidR="008143CF" w:rsidRPr="008143CF">
              <w:rPr>
                <w:rFonts w:asciiTheme="minorHAnsi" w:hAnsiTheme="minorHAnsi"/>
                <w:sz w:val="20"/>
              </w:rPr>
              <w:t>Antoinette Scherz</w:t>
            </w:r>
          </w:p>
        </w:tc>
      </w:tr>
      <w:tr w:rsidR="00A53AA8" w:rsidRPr="005C70C5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Times New Roman" w:hAnsi="Times New Roman"/>
                <w:snapToGrid/>
                <w:sz w:val="20"/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A8" w:rsidRPr="00A53AA8" w:rsidRDefault="00A53AA8" w:rsidP="006071B3">
            <w:pPr>
              <w:widowControl/>
              <w:rPr>
                <w:rFonts w:ascii="Times New Roman" w:hAnsi="Times New Roman"/>
                <w:snapToGrid/>
                <w:sz w:val="20"/>
                <w:lang w:val="en-US" w:eastAsia="en-US"/>
              </w:rPr>
            </w:pPr>
          </w:p>
        </w:tc>
      </w:tr>
      <w:tr w:rsidR="00A53AA8" w:rsidRPr="00A53AA8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  <w:t>Multilevel separation of Authority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C62D4" w:rsidRPr="00C912C6" w:rsidTr="00C800B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62D4" w:rsidRPr="00A53AA8" w:rsidRDefault="001C62D4" w:rsidP="00C800B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2D4" w:rsidRPr="00A53AA8" w:rsidRDefault="001C62D4" w:rsidP="00C800B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 xml:space="preserve">Dmitry </w:t>
            </w:r>
            <w:proofErr w:type="spellStart"/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Kurnosov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2D4" w:rsidRPr="00A53AA8" w:rsidRDefault="001C62D4" w:rsidP="00C800B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Copenhagen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2D4" w:rsidRDefault="001C62D4" w:rsidP="00C800B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Election-Related Disputes – A Challenge for the Legitimacy of International Courts?</w:t>
            </w:r>
          </w:p>
          <w:p w:rsidR="001C62D4" w:rsidRPr="00A53AA8" w:rsidRDefault="001C62D4" w:rsidP="00F5419E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Prepared Comments: </w:t>
            </w:r>
            <w:r w:rsidR="00F5419E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Martin Vestergren</w:t>
            </w: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A53AA8" w:rsidRPr="00025B4A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 xml:space="preserve">Camilla </w:t>
            </w:r>
            <w:proofErr w:type="spellStart"/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Capucio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111111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111111"/>
                <w:sz w:val="20"/>
                <w:lang w:val="en-US" w:eastAsia="en-US"/>
              </w:rPr>
              <w:t>São Paulo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Overlapping jurisdictions in international economic law</w:t>
            </w:r>
          </w:p>
          <w:p w:rsidR="000B5D78" w:rsidRPr="00A53AA8" w:rsidRDefault="00C912C6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Prepared Comments: </w:t>
            </w: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Natalia Yeti Puspita</w:t>
            </w:r>
          </w:p>
        </w:tc>
      </w:tr>
      <w:tr w:rsidR="00A53AA8" w:rsidRPr="00025B4A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Times New Roman" w:hAnsi="Times New Roman"/>
                <w:snapToGrid/>
                <w:sz w:val="20"/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AA8" w:rsidRPr="00A53AA8" w:rsidRDefault="00A53AA8" w:rsidP="006071B3">
            <w:pPr>
              <w:widowControl/>
              <w:rPr>
                <w:rFonts w:ascii="Times New Roman" w:hAnsi="Times New Roman"/>
                <w:snapToGrid/>
                <w:sz w:val="20"/>
                <w:lang w:val="en-US" w:eastAsia="en-US"/>
              </w:rPr>
            </w:pPr>
          </w:p>
        </w:tc>
      </w:tr>
      <w:tr w:rsidR="00A53AA8" w:rsidRPr="00A53AA8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  <w:t>Independence and Accountability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53AA8" w:rsidRPr="00C912C6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Lando Kirchmair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AA8" w:rsidRP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Salzburg/Munich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A8" w:rsidRDefault="00A53AA8" w:rsidP="006071B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Moving the ICJ from bilateralism to serve the community interest</w:t>
            </w:r>
          </w:p>
          <w:p w:rsidR="000B5D78" w:rsidRPr="00A53AA8" w:rsidRDefault="000B5D78" w:rsidP="00D26886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Prepared Comments: </w:t>
            </w:r>
            <w:r w:rsidR="00075607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Dmitry </w:t>
            </w:r>
            <w:proofErr w:type="spellStart"/>
            <w:r w:rsidR="00075607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Kurnosov</w:t>
            </w:r>
            <w:proofErr w:type="spellEnd"/>
            <w:r w:rsidR="00075607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F917B4" w:rsidRPr="00C912C6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17B4" w:rsidRPr="00A53AA8" w:rsidRDefault="00F917B4" w:rsidP="005C70C5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7B4" w:rsidRPr="005C70C5" w:rsidRDefault="00F917B4" w:rsidP="00F917B4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7B4" w:rsidRPr="005C70C5" w:rsidRDefault="00F917B4" w:rsidP="00F917B4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B4" w:rsidRPr="00A53AA8" w:rsidRDefault="00F917B4" w:rsidP="005C70C5">
            <w:pPr>
              <w:widowControl/>
              <w:rPr>
                <w:rFonts w:ascii="Times New Roman" w:hAnsi="Times New Roman"/>
                <w:snapToGrid/>
                <w:sz w:val="20"/>
                <w:lang w:val="en-US" w:eastAsia="en-US"/>
              </w:rPr>
            </w:pPr>
          </w:p>
        </w:tc>
      </w:tr>
      <w:tr w:rsidR="005C70C5" w:rsidRPr="00F917B4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US" w:eastAsia="en-US"/>
              </w:rPr>
              <w:t>Performance of ICs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C5" w:rsidRPr="00A53AA8" w:rsidRDefault="005C70C5" w:rsidP="005C70C5">
            <w:pPr>
              <w:widowControl/>
              <w:rPr>
                <w:rFonts w:ascii="Times New Roman" w:hAnsi="Times New Roman"/>
                <w:snapToGrid/>
                <w:sz w:val="20"/>
                <w:lang w:val="en-US" w:eastAsia="en-US"/>
              </w:rPr>
            </w:pPr>
          </w:p>
        </w:tc>
      </w:tr>
      <w:tr w:rsidR="005C70C5" w:rsidRPr="005C70C5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Martin Vestergren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PluriCourts, Oslo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C5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International Investment Tribunals and the golden straitjacket: Why </w:t>
            </w:r>
            <w:r w:rsidR="00EB5969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offers too good to refuse are</w:t>
            </w: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 objectionable domination </w:t>
            </w:r>
          </w:p>
          <w:p w:rsidR="000B5D78" w:rsidRPr="00A53AA8" w:rsidRDefault="000B5D78" w:rsidP="00DB1B1F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Prepared Comments: </w:t>
            </w:r>
            <w:r w:rsidR="00DB1B1F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Andreas Kulick</w:t>
            </w:r>
          </w:p>
        </w:tc>
      </w:tr>
      <w:tr w:rsidR="005C70C5" w:rsidRPr="005C70C5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Natalia Yeti Puspita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0C5" w:rsidRPr="00A53AA8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Jakarta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C5" w:rsidRDefault="005C70C5" w:rsidP="005C70C5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 w:rsidRPr="00A53AA8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ASEAN Dispute Settlement Mechanism: An Application of the Principle of Subsidiarity in the Human Rights Protection Framework in ASEAN</w:t>
            </w:r>
          </w:p>
          <w:p w:rsidR="000B5D78" w:rsidRPr="00A53AA8" w:rsidRDefault="00DF45FB" w:rsidP="00381D21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 xml:space="preserve">Prepared Comments: </w:t>
            </w:r>
            <w:r w:rsidR="00381D21"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Andreas Follesdal</w:t>
            </w:r>
          </w:p>
        </w:tc>
      </w:tr>
      <w:tr w:rsidR="00F917B4" w:rsidRPr="005C70C5" w:rsidTr="00FB6274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17B4" w:rsidRPr="00A53AA8" w:rsidRDefault="00F917B4" w:rsidP="005C70C5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7B4" w:rsidRPr="00A53AA8" w:rsidRDefault="00CB31A0" w:rsidP="005C70C5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en-US" w:eastAsia="en-US"/>
              </w:rPr>
              <w:t>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7B4" w:rsidRPr="00A53AA8" w:rsidRDefault="00F917B4" w:rsidP="005C70C5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B4" w:rsidRPr="00A53AA8" w:rsidRDefault="00CB31A0" w:rsidP="005C70C5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/>
                <w:snapToGrid/>
                <w:color w:val="000000"/>
                <w:sz w:val="20"/>
                <w:lang w:val="en-US" w:eastAsia="en-US"/>
              </w:rPr>
              <w:t>General discussion</w:t>
            </w:r>
          </w:p>
        </w:tc>
      </w:tr>
    </w:tbl>
    <w:p w:rsidR="00750204" w:rsidRPr="00A53AA8" w:rsidRDefault="00750204" w:rsidP="006071B3">
      <w:pPr>
        <w:rPr>
          <w:lang w:val="en-US"/>
        </w:rPr>
      </w:pPr>
    </w:p>
    <w:sectPr w:rsidR="00750204" w:rsidRPr="00A53AA8" w:rsidSect="00531A9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14" w:rsidRDefault="005B6114">
      <w:r>
        <w:separator/>
      </w:r>
    </w:p>
  </w:endnote>
  <w:endnote w:type="continuationSeparator" w:id="0">
    <w:p w:rsidR="005B6114" w:rsidRDefault="005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ndhi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AF" w:rsidRPr="00531A92" w:rsidRDefault="008728AF" w:rsidP="00531A92">
    <w:pPr>
      <w:pStyle w:val="Footer"/>
      <w:rPr>
        <w:lang w:val="en-US"/>
      </w:rPr>
    </w:pPr>
    <w:r>
      <w:tab/>
    </w:r>
    <w:r>
      <w:rPr>
        <w:lang w:val="en-US"/>
      </w:rPr>
      <w:t xml:space="preserve">- </w:t>
    </w:r>
    <w:r w:rsidR="006C4AB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C4ABD">
      <w:rPr>
        <w:rStyle w:val="PageNumber"/>
      </w:rPr>
      <w:fldChar w:fldCharType="separate"/>
    </w:r>
    <w:r w:rsidR="001B3EA2">
      <w:rPr>
        <w:rStyle w:val="PageNumber"/>
        <w:noProof/>
      </w:rPr>
      <w:t>2</w:t>
    </w:r>
    <w:r w:rsidR="006C4ABD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AF" w:rsidRPr="00E963FE" w:rsidRDefault="008728AF" w:rsidP="00531A92">
    <w:pPr>
      <w:pStyle w:val="Footer"/>
      <w:tabs>
        <w:tab w:val="clear" w:pos="4536"/>
        <w:tab w:val="clear" w:pos="9072"/>
        <w:tab w:val="left" w:pos="2041"/>
        <w:tab w:val="left" w:pos="4082"/>
        <w:tab w:val="left" w:pos="6237"/>
      </w:tabs>
      <w:rPr>
        <w:sz w:val="18"/>
        <w:lang w:val="en-GB"/>
      </w:rPr>
    </w:pPr>
    <w:r w:rsidRPr="00E963FE">
      <w:rPr>
        <w:sz w:val="18"/>
        <w:lang w:val="en-GB"/>
      </w:rPr>
      <w:t>____________________________________________________________________________________________________</w:t>
    </w:r>
  </w:p>
  <w:p w:rsidR="008728AF" w:rsidRPr="00163F71" w:rsidRDefault="005B6114" w:rsidP="00531A92">
    <w:pPr>
      <w:pStyle w:val="Footer"/>
      <w:tabs>
        <w:tab w:val="clear" w:pos="4536"/>
        <w:tab w:val="clear" w:pos="9072"/>
        <w:tab w:val="left" w:pos="2041"/>
        <w:tab w:val="left" w:pos="4082"/>
        <w:tab w:val="left" w:pos="6237"/>
      </w:tabs>
      <w:rPr>
        <w:lang w:val="en-US"/>
      </w:rPr>
    </w:pPr>
    <w:hyperlink r:id="rId1" w:history="1">
      <w:r w:rsidR="008C71BE" w:rsidRPr="00BA7F88">
        <w:rPr>
          <w:rStyle w:val="Hyperlink"/>
          <w:sz w:val="18"/>
          <w:lang w:val="en-US"/>
        </w:rPr>
        <w:t>andreas.follesdal@jus.uio.no</w:t>
      </w:r>
    </w:hyperlink>
    <w:r w:rsidR="008C71BE">
      <w:rPr>
        <w:rStyle w:val="Hyperlink"/>
        <w:sz w:val="18"/>
        <w:lang w:val="en-US"/>
      </w:rPr>
      <w:t xml:space="preserve"> </w:t>
    </w:r>
    <w:r w:rsidR="00EB5FA9" w:rsidRPr="00163F71">
      <w:rPr>
        <w:sz w:val="18"/>
        <w:lang w:val="en-US"/>
      </w:rPr>
      <w:t xml:space="preserve"> </w:t>
    </w:r>
    <w:r w:rsidR="00272BC0" w:rsidRPr="00163F71">
      <w:rPr>
        <w:sz w:val="18"/>
        <w:lang w:val="en-US"/>
      </w:rPr>
      <w:tab/>
    </w:r>
    <w:r w:rsidR="008C71BE">
      <w:rPr>
        <w:sz w:val="18"/>
        <w:lang w:val="en-US"/>
      </w:rPr>
      <w:t xml:space="preserve">  </w:t>
    </w:r>
    <w:hyperlink r:id="rId2" w:history="1">
      <w:r w:rsidR="008C71BE" w:rsidRPr="00BA7F88">
        <w:rPr>
          <w:rStyle w:val="Hyperlink"/>
          <w:sz w:val="18"/>
          <w:lang w:val="en-US"/>
        </w:rPr>
        <w:t>www.pluricourts.no</w:t>
      </w:r>
    </w:hyperlink>
    <w:r w:rsidR="008C71BE">
      <w:rPr>
        <w:sz w:val="18"/>
        <w:lang w:val="en-US"/>
      </w:rPr>
      <w:t xml:space="preserve"> </w:t>
    </w:r>
    <w:r w:rsidR="00272BC0" w:rsidRPr="00163F71">
      <w:rPr>
        <w:sz w:val="18"/>
        <w:lang w:val="en-US"/>
      </w:rPr>
      <w:tab/>
    </w:r>
    <w:r w:rsidR="00272BC0" w:rsidRPr="00163F71">
      <w:rPr>
        <w:sz w:val="18"/>
        <w:lang w:val="en-US"/>
      </w:rPr>
      <w:tab/>
    </w:r>
    <w:r w:rsidR="00272BC0" w:rsidRPr="00163F71">
      <w:rPr>
        <w:sz w:val="18"/>
        <w:lang w:val="en-US"/>
      </w:rPr>
      <w:tab/>
    </w:r>
    <w:r w:rsidR="008728AF" w:rsidRPr="00163F71">
      <w:rPr>
        <w:sz w:val="18"/>
        <w:lang w:val="en-US"/>
      </w:rPr>
      <w:t>http://</w:t>
    </w:r>
    <w:r w:rsidR="009B4FAE" w:rsidRPr="00163F71">
      <w:rPr>
        <w:sz w:val="18"/>
        <w:lang w:val="en-US"/>
      </w:rPr>
      <w:t>www.follesdal.net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14" w:rsidRDefault="005B6114">
      <w:r>
        <w:separator/>
      </w:r>
    </w:p>
  </w:footnote>
  <w:footnote w:type="continuationSeparator" w:id="0">
    <w:p w:rsidR="005B6114" w:rsidRDefault="005B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AF" w:rsidRDefault="008728AF">
    <w:pPr>
      <w:pStyle w:val="Header"/>
    </w:pPr>
  </w:p>
  <w:p w:rsidR="008728AF" w:rsidRDefault="00872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27" w:rsidRPr="00002227" w:rsidRDefault="008728AF">
    <w:pPr>
      <w:pStyle w:val="Header"/>
      <w:rPr>
        <w:smallCaps/>
      </w:rPr>
    </w:pPr>
    <w:r>
      <w:rPr>
        <w:smallCaps/>
      </w:rPr>
      <w:t>20</w:t>
    </w:r>
    <w:r w:rsidR="004C4276">
      <w:rPr>
        <w:smallCaps/>
      </w:rPr>
      <w:t>1</w:t>
    </w:r>
    <w:r w:rsidR="00D77173">
      <w:rPr>
        <w:smallCaps/>
      </w:rPr>
      <w:t>9</w:t>
    </w:r>
    <w:r w:rsidR="00C71147">
      <w:rPr>
        <w:smallCaps/>
      </w:rPr>
      <w:t>0707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E68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62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E4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6B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B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0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8E2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367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7C1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3C5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4B20"/>
    <w:multiLevelType w:val="hybridMultilevel"/>
    <w:tmpl w:val="C5E0D156"/>
    <w:lvl w:ilvl="0" w:tplc="3926E4C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57349"/>
    <w:multiLevelType w:val="hybridMultilevel"/>
    <w:tmpl w:val="0A9415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A1C53"/>
    <w:multiLevelType w:val="hybridMultilevel"/>
    <w:tmpl w:val="91C0088E"/>
    <w:lvl w:ilvl="0" w:tplc="81C602B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E4F30"/>
    <w:multiLevelType w:val="hybridMultilevel"/>
    <w:tmpl w:val="1C2636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D67A0"/>
    <w:multiLevelType w:val="hybridMultilevel"/>
    <w:tmpl w:val="8324953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2538E5"/>
    <w:multiLevelType w:val="hybridMultilevel"/>
    <w:tmpl w:val="CBEE1E4C"/>
    <w:lvl w:ilvl="0" w:tplc="1BBA25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4232"/>
    <w:multiLevelType w:val="hybridMultilevel"/>
    <w:tmpl w:val="67A838E6"/>
    <w:lvl w:ilvl="0" w:tplc="23A49C66">
      <w:start w:val="1"/>
      <w:numFmt w:val="decimal"/>
      <w:lvlText w:val="%1"/>
      <w:lvlJc w:val="left"/>
      <w:pPr>
        <w:ind w:left="1064" w:hanging="360"/>
      </w:pPr>
      <w:rPr>
        <w:rFonts w:ascii="Palatino" w:eastAsia="Times New Roman" w:hAnsi="Palatino" w:cs="Times New Roman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 w15:restartNumberingAfterBreak="0">
    <w:nsid w:val="242B3860"/>
    <w:multiLevelType w:val="hybridMultilevel"/>
    <w:tmpl w:val="3F283284"/>
    <w:lvl w:ilvl="0" w:tplc="0414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552FEA"/>
    <w:multiLevelType w:val="hybridMultilevel"/>
    <w:tmpl w:val="E2821BD6"/>
    <w:lvl w:ilvl="0" w:tplc="041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267621"/>
    <w:multiLevelType w:val="hybridMultilevel"/>
    <w:tmpl w:val="FA6248FC"/>
    <w:lvl w:ilvl="0" w:tplc="7F3240E4">
      <w:start w:val="1"/>
      <w:numFmt w:val="bullet"/>
      <w:lvlText w:val="-"/>
      <w:lvlJc w:val="left"/>
      <w:pPr>
        <w:ind w:left="1097" w:hanging="360"/>
      </w:pPr>
      <w:rPr>
        <w:rFonts w:ascii="Palatino Linotype" w:eastAsia="SimSu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 w15:restartNumberingAfterBreak="0">
    <w:nsid w:val="2A9C4ED7"/>
    <w:multiLevelType w:val="hybridMultilevel"/>
    <w:tmpl w:val="E8DA78CA"/>
    <w:lvl w:ilvl="0" w:tplc="0588A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92AB1"/>
    <w:multiLevelType w:val="hybridMultilevel"/>
    <w:tmpl w:val="D1BCC774"/>
    <w:lvl w:ilvl="0" w:tplc="0588A34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C6EFB"/>
    <w:multiLevelType w:val="hybridMultilevel"/>
    <w:tmpl w:val="E668E236"/>
    <w:lvl w:ilvl="0" w:tplc="041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91C59"/>
    <w:multiLevelType w:val="hybridMultilevel"/>
    <w:tmpl w:val="2FE0F3FA"/>
    <w:lvl w:ilvl="0" w:tplc="041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33C77"/>
    <w:multiLevelType w:val="hybridMultilevel"/>
    <w:tmpl w:val="4A5E8AB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D3381"/>
    <w:multiLevelType w:val="hybridMultilevel"/>
    <w:tmpl w:val="8AEE4CAA"/>
    <w:lvl w:ilvl="0" w:tplc="041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2E1A04"/>
    <w:multiLevelType w:val="hybridMultilevel"/>
    <w:tmpl w:val="FE9AFE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B05BA"/>
    <w:multiLevelType w:val="hybridMultilevel"/>
    <w:tmpl w:val="66B00EB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F701C"/>
    <w:multiLevelType w:val="hybridMultilevel"/>
    <w:tmpl w:val="610EC702"/>
    <w:lvl w:ilvl="0" w:tplc="F188AFD4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43D90"/>
    <w:multiLevelType w:val="hybridMultilevel"/>
    <w:tmpl w:val="1996D71E"/>
    <w:lvl w:ilvl="0" w:tplc="3926E4C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E2483"/>
    <w:multiLevelType w:val="hybridMultilevel"/>
    <w:tmpl w:val="3BD24D66"/>
    <w:lvl w:ilvl="0" w:tplc="0414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C34452"/>
    <w:multiLevelType w:val="hybridMultilevel"/>
    <w:tmpl w:val="6860B916"/>
    <w:lvl w:ilvl="0" w:tplc="F03A641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07FE"/>
    <w:multiLevelType w:val="hybridMultilevel"/>
    <w:tmpl w:val="212AA1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C5BB6"/>
    <w:multiLevelType w:val="hybridMultilevel"/>
    <w:tmpl w:val="8A72DF50"/>
    <w:lvl w:ilvl="0" w:tplc="041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72565"/>
    <w:multiLevelType w:val="hybridMultilevel"/>
    <w:tmpl w:val="17B6F18C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51023"/>
    <w:multiLevelType w:val="hybridMultilevel"/>
    <w:tmpl w:val="F95CF468"/>
    <w:lvl w:ilvl="0" w:tplc="0414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2"/>
  </w:num>
  <w:num w:numId="13">
    <w:abstractNumId w:val="27"/>
  </w:num>
  <w:num w:numId="14">
    <w:abstractNumId w:val="20"/>
  </w:num>
  <w:num w:numId="15">
    <w:abstractNumId w:val="31"/>
  </w:num>
  <w:num w:numId="16">
    <w:abstractNumId w:val="34"/>
  </w:num>
  <w:num w:numId="17">
    <w:abstractNumId w:val="11"/>
  </w:num>
  <w:num w:numId="18">
    <w:abstractNumId w:val="14"/>
  </w:num>
  <w:num w:numId="19">
    <w:abstractNumId w:val="35"/>
  </w:num>
  <w:num w:numId="20">
    <w:abstractNumId w:val="30"/>
  </w:num>
  <w:num w:numId="21">
    <w:abstractNumId w:val="25"/>
  </w:num>
  <w:num w:numId="22">
    <w:abstractNumId w:val="22"/>
  </w:num>
  <w:num w:numId="23">
    <w:abstractNumId w:val="33"/>
  </w:num>
  <w:num w:numId="24">
    <w:abstractNumId w:val="23"/>
  </w:num>
  <w:num w:numId="25">
    <w:abstractNumId w:val="18"/>
  </w:num>
  <w:num w:numId="26">
    <w:abstractNumId w:val="17"/>
  </w:num>
  <w:num w:numId="27">
    <w:abstractNumId w:val="21"/>
  </w:num>
  <w:num w:numId="28">
    <w:abstractNumId w:val="12"/>
  </w:num>
  <w:num w:numId="29">
    <w:abstractNumId w:val="28"/>
  </w:num>
  <w:num w:numId="30">
    <w:abstractNumId w:val="19"/>
  </w:num>
  <w:num w:numId="31">
    <w:abstractNumId w:val="24"/>
  </w:num>
  <w:num w:numId="32">
    <w:abstractNumId w:val="26"/>
  </w:num>
  <w:num w:numId="33">
    <w:abstractNumId w:val="13"/>
  </w:num>
  <w:num w:numId="34">
    <w:abstractNumId w:val="16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5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橄ㄴ䋰Гק찔㈇"/>
    <w:docVar w:name="EN.Layout" w:val="w:docVa"/>
    <w:docVar w:name="EN.Libraries" w:val=")䀀ĀÀ렠&quot;࠰ᢀ˄Ʃ逃ڥ߀´´膁　Ā偀࿿値Ӥ2Уᰐ&quot;xx֠ضضضضضضضضضɶɶɶɶɶɶɶɶɶضضضضضضȾضضضضضضضضضضضضضضضضضضضضضضضضضضض¨ضضضضضضضضضض¸ضضضضضضضضضضضضŨňضضضضضضضضضضضضضضضضضضضضضضضضضضضضضضضضضضضضضضضضضضضضضضضضضضضضضضضضضضضضضضضضضΰضزπϐϠϰЀАРарѐѠѰҀҐπϐϠϰЀАزȨǘǨРарѐѠѰҀҐπϐϠϰЀАРарѐѠѰҀҐπϐϠϰЀА"/>
  </w:docVars>
  <w:rsids>
    <w:rsidRoot w:val="00750204"/>
    <w:rsid w:val="00002227"/>
    <w:rsid w:val="0000263A"/>
    <w:rsid w:val="00003CDB"/>
    <w:rsid w:val="00023E74"/>
    <w:rsid w:val="00025B4A"/>
    <w:rsid w:val="000341CF"/>
    <w:rsid w:val="00045BD0"/>
    <w:rsid w:val="00052FE5"/>
    <w:rsid w:val="0006483A"/>
    <w:rsid w:val="00064CD6"/>
    <w:rsid w:val="00067FA6"/>
    <w:rsid w:val="0007002F"/>
    <w:rsid w:val="00075607"/>
    <w:rsid w:val="0008571F"/>
    <w:rsid w:val="0008608D"/>
    <w:rsid w:val="00086F01"/>
    <w:rsid w:val="00087CB2"/>
    <w:rsid w:val="000970A7"/>
    <w:rsid w:val="000A5D89"/>
    <w:rsid w:val="000A6F99"/>
    <w:rsid w:val="000B3ED7"/>
    <w:rsid w:val="000B5D78"/>
    <w:rsid w:val="000B691E"/>
    <w:rsid w:val="000C59A9"/>
    <w:rsid w:val="000C7AF9"/>
    <w:rsid w:val="000D091C"/>
    <w:rsid w:val="000D13DD"/>
    <w:rsid w:val="000D148F"/>
    <w:rsid w:val="000D5794"/>
    <w:rsid w:val="000E41E1"/>
    <w:rsid w:val="000E5843"/>
    <w:rsid w:val="000F21AE"/>
    <w:rsid w:val="0010094F"/>
    <w:rsid w:val="0010635D"/>
    <w:rsid w:val="00110A5F"/>
    <w:rsid w:val="00115007"/>
    <w:rsid w:val="00115371"/>
    <w:rsid w:val="001176EE"/>
    <w:rsid w:val="001178D6"/>
    <w:rsid w:val="00123A5D"/>
    <w:rsid w:val="00125E32"/>
    <w:rsid w:val="00132BAB"/>
    <w:rsid w:val="00163F71"/>
    <w:rsid w:val="00166756"/>
    <w:rsid w:val="001857E0"/>
    <w:rsid w:val="00187F05"/>
    <w:rsid w:val="001923E8"/>
    <w:rsid w:val="001A32DC"/>
    <w:rsid w:val="001B3EA2"/>
    <w:rsid w:val="001C2136"/>
    <w:rsid w:val="001C62D4"/>
    <w:rsid w:val="001D32D6"/>
    <w:rsid w:val="001D6376"/>
    <w:rsid w:val="001E0C9E"/>
    <w:rsid w:val="002033FF"/>
    <w:rsid w:val="002134AB"/>
    <w:rsid w:val="002140EA"/>
    <w:rsid w:val="00216F5A"/>
    <w:rsid w:val="002234EF"/>
    <w:rsid w:val="00236381"/>
    <w:rsid w:val="00240AE9"/>
    <w:rsid w:val="00272BC0"/>
    <w:rsid w:val="00275DF1"/>
    <w:rsid w:val="002771F5"/>
    <w:rsid w:val="00283CDA"/>
    <w:rsid w:val="0028555A"/>
    <w:rsid w:val="00295E8B"/>
    <w:rsid w:val="002A24FA"/>
    <w:rsid w:val="002A3B6A"/>
    <w:rsid w:val="002B50D6"/>
    <w:rsid w:val="002D049A"/>
    <w:rsid w:val="002D24F8"/>
    <w:rsid w:val="002F3928"/>
    <w:rsid w:val="0030411A"/>
    <w:rsid w:val="00311C5D"/>
    <w:rsid w:val="00321D1A"/>
    <w:rsid w:val="00323B6F"/>
    <w:rsid w:val="00326984"/>
    <w:rsid w:val="00356AD2"/>
    <w:rsid w:val="0035752A"/>
    <w:rsid w:val="00380FAE"/>
    <w:rsid w:val="00381D21"/>
    <w:rsid w:val="003830D1"/>
    <w:rsid w:val="00387B42"/>
    <w:rsid w:val="00395C1C"/>
    <w:rsid w:val="003B0F2B"/>
    <w:rsid w:val="003B5028"/>
    <w:rsid w:val="003C3DFE"/>
    <w:rsid w:val="003C4C32"/>
    <w:rsid w:val="003D32E8"/>
    <w:rsid w:val="003D3B60"/>
    <w:rsid w:val="003D7FD0"/>
    <w:rsid w:val="003E0C57"/>
    <w:rsid w:val="003E11F8"/>
    <w:rsid w:val="003F54C6"/>
    <w:rsid w:val="003F684B"/>
    <w:rsid w:val="00400C75"/>
    <w:rsid w:val="00403BBA"/>
    <w:rsid w:val="00410CC2"/>
    <w:rsid w:val="004302B0"/>
    <w:rsid w:val="00434359"/>
    <w:rsid w:val="00441AF7"/>
    <w:rsid w:val="00443EAF"/>
    <w:rsid w:val="004507E3"/>
    <w:rsid w:val="00452DAD"/>
    <w:rsid w:val="004610D2"/>
    <w:rsid w:val="00467AC3"/>
    <w:rsid w:val="00474208"/>
    <w:rsid w:val="004B3D3A"/>
    <w:rsid w:val="004C4276"/>
    <w:rsid w:val="004D44FF"/>
    <w:rsid w:val="004E0DB3"/>
    <w:rsid w:val="004E35DB"/>
    <w:rsid w:val="004E7A0A"/>
    <w:rsid w:val="00502CA5"/>
    <w:rsid w:val="00507877"/>
    <w:rsid w:val="00510B0A"/>
    <w:rsid w:val="005177A7"/>
    <w:rsid w:val="00524588"/>
    <w:rsid w:val="005251B4"/>
    <w:rsid w:val="00527AB9"/>
    <w:rsid w:val="005305AE"/>
    <w:rsid w:val="00531A92"/>
    <w:rsid w:val="00531BD5"/>
    <w:rsid w:val="005409A0"/>
    <w:rsid w:val="00574413"/>
    <w:rsid w:val="005832A0"/>
    <w:rsid w:val="00584779"/>
    <w:rsid w:val="005974C4"/>
    <w:rsid w:val="005A0B18"/>
    <w:rsid w:val="005A2773"/>
    <w:rsid w:val="005A71DB"/>
    <w:rsid w:val="005B6114"/>
    <w:rsid w:val="005C5B41"/>
    <w:rsid w:val="005C70C5"/>
    <w:rsid w:val="005D0735"/>
    <w:rsid w:val="005D7044"/>
    <w:rsid w:val="005E1A25"/>
    <w:rsid w:val="005F6389"/>
    <w:rsid w:val="00602063"/>
    <w:rsid w:val="0060252D"/>
    <w:rsid w:val="0060645A"/>
    <w:rsid w:val="006070FA"/>
    <w:rsid w:val="006071B3"/>
    <w:rsid w:val="00607B5A"/>
    <w:rsid w:val="00621893"/>
    <w:rsid w:val="0062502F"/>
    <w:rsid w:val="0063672F"/>
    <w:rsid w:val="00636DD5"/>
    <w:rsid w:val="00637C41"/>
    <w:rsid w:val="00641E03"/>
    <w:rsid w:val="00655525"/>
    <w:rsid w:val="00655D84"/>
    <w:rsid w:val="00656203"/>
    <w:rsid w:val="00664135"/>
    <w:rsid w:val="006663EB"/>
    <w:rsid w:val="0066713B"/>
    <w:rsid w:val="006706C4"/>
    <w:rsid w:val="00673BAA"/>
    <w:rsid w:val="006752D8"/>
    <w:rsid w:val="006837C8"/>
    <w:rsid w:val="00690A8A"/>
    <w:rsid w:val="006917E9"/>
    <w:rsid w:val="006967F6"/>
    <w:rsid w:val="006A15D4"/>
    <w:rsid w:val="006A4139"/>
    <w:rsid w:val="006B0112"/>
    <w:rsid w:val="006C4ABD"/>
    <w:rsid w:val="006D0B0E"/>
    <w:rsid w:val="006D5530"/>
    <w:rsid w:val="006E074F"/>
    <w:rsid w:val="006E20BF"/>
    <w:rsid w:val="006E28FF"/>
    <w:rsid w:val="006E7401"/>
    <w:rsid w:val="006F33A3"/>
    <w:rsid w:val="007035AD"/>
    <w:rsid w:val="00716C50"/>
    <w:rsid w:val="0073548B"/>
    <w:rsid w:val="0074000F"/>
    <w:rsid w:val="0074093B"/>
    <w:rsid w:val="0074710D"/>
    <w:rsid w:val="00750204"/>
    <w:rsid w:val="0075023A"/>
    <w:rsid w:val="007511E0"/>
    <w:rsid w:val="0075269D"/>
    <w:rsid w:val="00752BC9"/>
    <w:rsid w:val="007610E3"/>
    <w:rsid w:val="00765D07"/>
    <w:rsid w:val="00766ED6"/>
    <w:rsid w:val="00773F02"/>
    <w:rsid w:val="007757D1"/>
    <w:rsid w:val="00785BDE"/>
    <w:rsid w:val="007953B9"/>
    <w:rsid w:val="00797900"/>
    <w:rsid w:val="007B27B5"/>
    <w:rsid w:val="007D20DD"/>
    <w:rsid w:val="007D7DD8"/>
    <w:rsid w:val="007E4E68"/>
    <w:rsid w:val="007E52D2"/>
    <w:rsid w:val="008143CF"/>
    <w:rsid w:val="00832970"/>
    <w:rsid w:val="00837A55"/>
    <w:rsid w:val="008622C7"/>
    <w:rsid w:val="008728AF"/>
    <w:rsid w:val="0088265B"/>
    <w:rsid w:val="00895E2F"/>
    <w:rsid w:val="008B27F4"/>
    <w:rsid w:val="008B5664"/>
    <w:rsid w:val="008C4C11"/>
    <w:rsid w:val="008C5BEB"/>
    <w:rsid w:val="008C6C65"/>
    <w:rsid w:val="008C71BE"/>
    <w:rsid w:val="008D3BC4"/>
    <w:rsid w:val="009034D2"/>
    <w:rsid w:val="00904B0B"/>
    <w:rsid w:val="00906408"/>
    <w:rsid w:val="00912868"/>
    <w:rsid w:val="009224A6"/>
    <w:rsid w:val="00923418"/>
    <w:rsid w:val="00925127"/>
    <w:rsid w:val="009254BC"/>
    <w:rsid w:val="009260A7"/>
    <w:rsid w:val="00927BA8"/>
    <w:rsid w:val="009318C1"/>
    <w:rsid w:val="00932B74"/>
    <w:rsid w:val="00935590"/>
    <w:rsid w:val="0093629A"/>
    <w:rsid w:val="00936690"/>
    <w:rsid w:val="00972ACF"/>
    <w:rsid w:val="0097605C"/>
    <w:rsid w:val="009945F8"/>
    <w:rsid w:val="009A36C1"/>
    <w:rsid w:val="009B0C55"/>
    <w:rsid w:val="009B4FAE"/>
    <w:rsid w:val="009C3CD9"/>
    <w:rsid w:val="009D0692"/>
    <w:rsid w:val="009D6684"/>
    <w:rsid w:val="009D75B7"/>
    <w:rsid w:val="00A05064"/>
    <w:rsid w:val="00A112CA"/>
    <w:rsid w:val="00A44114"/>
    <w:rsid w:val="00A466F6"/>
    <w:rsid w:val="00A507A0"/>
    <w:rsid w:val="00A50C0B"/>
    <w:rsid w:val="00A53AA8"/>
    <w:rsid w:val="00A55446"/>
    <w:rsid w:val="00A66232"/>
    <w:rsid w:val="00A664F1"/>
    <w:rsid w:val="00A80EFE"/>
    <w:rsid w:val="00A87AD0"/>
    <w:rsid w:val="00A91450"/>
    <w:rsid w:val="00A935D8"/>
    <w:rsid w:val="00AA028F"/>
    <w:rsid w:val="00AA2B08"/>
    <w:rsid w:val="00AB2B1E"/>
    <w:rsid w:val="00AB563A"/>
    <w:rsid w:val="00AC0CE0"/>
    <w:rsid w:val="00AC2E38"/>
    <w:rsid w:val="00AC490B"/>
    <w:rsid w:val="00AD5D3D"/>
    <w:rsid w:val="00AE1EF2"/>
    <w:rsid w:val="00AE212C"/>
    <w:rsid w:val="00AF0AE8"/>
    <w:rsid w:val="00AF50D1"/>
    <w:rsid w:val="00AF6C42"/>
    <w:rsid w:val="00B00DBC"/>
    <w:rsid w:val="00B03FD3"/>
    <w:rsid w:val="00B0426E"/>
    <w:rsid w:val="00B17922"/>
    <w:rsid w:val="00B22748"/>
    <w:rsid w:val="00B24C21"/>
    <w:rsid w:val="00B341DB"/>
    <w:rsid w:val="00B35CBD"/>
    <w:rsid w:val="00B42D8A"/>
    <w:rsid w:val="00B511ED"/>
    <w:rsid w:val="00B51DF1"/>
    <w:rsid w:val="00B53B11"/>
    <w:rsid w:val="00B64060"/>
    <w:rsid w:val="00B64F61"/>
    <w:rsid w:val="00B71F69"/>
    <w:rsid w:val="00B72B29"/>
    <w:rsid w:val="00B95AD9"/>
    <w:rsid w:val="00B96BCA"/>
    <w:rsid w:val="00BA28EF"/>
    <w:rsid w:val="00BB0833"/>
    <w:rsid w:val="00BC518C"/>
    <w:rsid w:val="00BC7505"/>
    <w:rsid w:val="00BD3B6C"/>
    <w:rsid w:val="00BD4851"/>
    <w:rsid w:val="00BD4F8F"/>
    <w:rsid w:val="00BE0696"/>
    <w:rsid w:val="00C020C1"/>
    <w:rsid w:val="00C0362E"/>
    <w:rsid w:val="00C104B6"/>
    <w:rsid w:val="00C3013A"/>
    <w:rsid w:val="00C31652"/>
    <w:rsid w:val="00C33940"/>
    <w:rsid w:val="00C437D4"/>
    <w:rsid w:val="00C50A4E"/>
    <w:rsid w:val="00C51502"/>
    <w:rsid w:val="00C54383"/>
    <w:rsid w:val="00C57756"/>
    <w:rsid w:val="00C71147"/>
    <w:rsid w:val="00C71AC3"/>
    <w:rsid w:val="00C71FA0"/>
    <w:rsid w:val="00C774B9"/>
    <w:rsid w:val="00C8699F"/>
    <w:rsid w:val="00C87587"/>
    <w:rsid w:val="00C912C6"/>
    <w:rsid w:val="00C9233B"/>
    <w:rsid w:val="00C9461C"/>
    <w:rsid w:val="00C95831"/>
    <w:rsid w:val="00C96879"/>
    <w:rsid w:val="00CB31A0"/>
    <w:rsid w:val="00CB4E4E"/>
    <w:rsid w:val="00CB6495"/>
    <w:rsid w:val="00CD1718"/>
    <w:rsid w:val="00CE098E"/>
    <w:rsid w:val="00CE4C3A"/>
    <w:rsid w:val="00CE7809"/>
    <w:rsid w:val="00CE7949"/>
    <w:rsid w:val="00CF2E97"/>
    <w:rsid w:val="00D051A7"/>
    <w:rsid w:val="00D070E2"/>
    <w:rsid w:val="00D07E70"/>
    <w:rsid w:val="00D26135"/>
    <w:rsid w:val="00D26886"/>
    <w:rsid w:val="00D26DA1"/>
    <w:rsid w:val="00D47C70"/>
    <w:rsid w:val="00D57417"/>
    <w:rsid w:val="00D627BB"/>
    <w:rsid w:val="00D647B0"/>
    <w:rsid w:val="00D7270B"/>
    <w:rsid w:val="00D74233"/>
    <w:rsid w:val="00D77173"/>
    <w:rsid w:val="00D81F15"/>
    <w:rsid w:val="00D879F2"/>
    <w:rsid w:val="00DB0563"/>
    <w:rsid w:val="00DB1B1F"/>
    <w:rsid w:val="00DB2ED9"/>
    <w:rsid w:val="00DB33DE"/>
    <w:rsid w:val="00DB36D7"/>
    <w:rsid w:val="00DC1AB6"/>
    <w:rsid w:val="00DC3E29"/>
    <w:rsid w:val="00DC45B5"/>
    <w:rsid w:val="00DC4FB6"/>
    <w:rsid w:val="00DE4A50"/>
    <w:rsid w:val="00DF45FB"/>
    <w:rsid w:val="00E13D15"/>
    <w:rsid w:val="00E273DC"/>
    <w:rsid w:val="00E30666"/>
    <w:rsid w:val="00E54D13"/>
    <w:rsid w:val="00E71653"/>
    <w:rsid w:val="00E75E9D"/>
    <w:rsid w:val="00E92461"/>
    <w:rsid w:val="00E92725"/>
    <w:rsid w:val="00E94CDB"/>
    <w:rsid w:val="00E963FE"/>
    <w:rsid w:val="00EB5969"/>
    <w:rsid w:val="00EB5FA9"/>
    <w:rsid w:val="00EC79F5"/>
    <w:rsid w:val="00ED2325"/>
    <w:rsid w:val="00ED2866"/>
    <w:rsid w:val="00ED77AF"/>
    <w:rsid w:val="00EF7DA9"/>
    <w:rsid w:val="00F232E2"/>
    <w:rsid w:val="00F23DEA"/>
    <w:rsid w:val="00F24338"/>
    <w:rsid w:val="00F5419E"/>
    <w:rsid w:val="00F63F76"/>
    <w:rsid w:val="00F67F6F"/>
    <w:rsid w:val="00F71DF6"/>
    <w:rsid w:val="00F720D1"/>
    <w:rsid w:val="00F73992"/>
    <w:rsid w:val="00F81A54"/>
    <w:rsid w:val="00F87282"/>
    <w:rsid w:val="00F917B4"/>
    <w:rsid w:val="00FA35F3"/>
    <w:rsid w:val="00FB5B8A"/>
    <w:rsid w:val="00FB6274"/>
    <w:rsid w:val="00FC53AF"/>
    <w:rsid w:val="00FC65C9"/>
    <w:rsid w:val="00FC670D"/>
    <w:rsid w:val="00FD02AF"/>
    <w:rsid w:val="00FD2AA7"/>
    <w:rsid w:val="00FE7A38"/>
    <w:rsid w:val="00FF3A32"/>
    <w:rsid w:val="00FF4CF9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21582"/>
  <w15:docId w15:val="{65926865-EA51-4E44-BADD-FCEF2F9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28"/>
    <w:pPr>
      <w:widowControl w:val="0"/>
    </w:pPr>
    <w:rPr>
      <w:rFonts w:ascii="Palatino Linotype" w:hAnsi="Palatino Linotype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E92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246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24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F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3F71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"/>
    <w:qFormat/>
    <w:rsid w:val="00E92461"/>
    <w:pPr>
      <w:ind w:left="360" w:right="360"/>
    </w:pPr>
  </w:style>
  <w:style w:type="character" w:styleId="PageNumber">
    <w:name w:val="page number"/>
    <w:basedOn w:val="DefaultParagraphFont"/>
    <w:rsid w:val="00163F71"/>
  </w:style>
  <w:style w:type="paragraph" w:styleId="Title">
    <w:name w:val="Title"/>
    <w:aliases w:val="title"/>
    <w:basedOn w:val="Normal"/>
    <w:link w:val="TitleChar"/>
    <w:qFormat/>
    <w:rsid w:val="00E924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alIndent">
    <w:name w:val="Normal Indent"/>
    <w:basedOn w:val="Normal"/>
    <w:link w:val="NormalIndentChar"/>
    <w:uiPriority w:val="99"/>
    <w:rsid w:val="00163F71"/>
    <w:pPr>
      <w:ind w:firstLine="737"/>
    </w:pPr>
    <w:rPr>
      <w:rFonts w:eastAsia="SimSun"/>
      <w:snapToGrid/>
      <w:kern w:val="2"/>
      <w:szCs w:val="24"/>
      <w:lang w:val="en-GB" w:eastAsia="zh-CN"/>
    </w:rPr>
  </w:style>
  <w:style w:type="character" w:customStyle="1" w:styleId="NormalIndentChar">
    <w:name w:val="Normal Indent Char"/>
    <w:basedOn w:val="DefaultParagraphFont"/>
    <w:link w:val="NormalIndent"/>
    <w:uiPriority w:val="99"/>
    <w:locked/>
    <w:rsid w:val="00163F71"/>
    <w:rPr>
      <w:rFonts w:ascii="Palatino Linotype" w:eastAsia="SimSun" w:hAnsi="Palatino Linotype"/>
      <w:kern w:val="2"/>
      <w:sz w:val="24"/>
      <w:szCs w:val="24"/>
      <w:lang w:val="en-GB" w:eastAsia="zh-CN"/>
    </w:rPr>
  </w:style>
  <w:style w:type="character" w:styleId="FootnoteReference">
    <w:name w:val="footnote reference"/>
    <w:basedOn w:val="DefaultParagraphFont"/>
    <w:rsid w:val="00163F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63F71"/>
    <w:pPr>
      <w:widowControl/>
    </w:pPr>
    <w:rPr>
      <w:rFonts w:ascii="Times New Roman" w:hAnsi="Times New Roman"/>
      <w:snapToGrid/>
      <w:sz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CB6495"/>
    <w:pPr>
      <w:widowControl/>
      <w:ind w:left="720" w:hanging="720"/>
    </w:pPr>
    <w:rPr>
      <w:rFonts w:ascii="Times New Roman" w:hAnsi="Times New Roman"/>
      <w:snapToGrid/>
      <w:sz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CB6495"/>
    <w:rPr>
      <w:lang w:val="en-US" w:eastAsia="en-US"/>
    </w:rPr>
  </w:style>
  <w:style w:type="character" w:styleId="EndnoteReference">
    <w:name w:val="endnote reference"/>
    <w:basedOn w:val="DefaultParagraphFont"/>
    <w:semiHidden/>
    <w:rsid w:val="00CB6495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92461"/>
    <w:rPr>
      <w:rFonts w:ascii="Palatino Linotype" w:hAnsi="Palatino Linotype" w:cs="Arial"/>
      <w:b/>
      <w:bCs/>
      <w:i/>
      <w:iCs/>
      <w:snapToGrid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92461"/>
    <w:rPr>
      <w:rFonts w:ascii="Palatino Linotype" w:hAnsi="Palatino Linotype" w:cs="Arial"/>
      <w:b/>
      <w:bCs/>
      <w:snapToGrid w:val="0"/>
      <w:kern w:val="32"/>
      <w:sz w:val="32"/>
      <w:szCs w:val="32"/>
    </w:rPr>
  </w:style>
  <w:style w:type="paragraph" w:styleId="DocumentMap">
    <w:name w:val="Document Map"/>
    <w:basedOn w:val="Normal"/>
    <w:semiHidden/>
    <w:rsid w:val="00CB6495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eItalic">
    <w:name w:val="Style Italic"/>
    <w:basedOn w:val="DefaultParagraphFont"/>
    <w:rsid w:val="00163F71"/>
    <w:rPr>
      <w:rFonts w:ascii="Palatino Linotype" w:hAnsi="Palatino Linotype"/>
      <w:i/>
      <w:iCs/>
      <w:sz w:val="24"/>
    </w:rPr>
  </w:style>
  <w:style w:type="paragraph" w:styleId="ListParagraph">
    <w:name w:val="List Paragraph"/>
    <w:basedOn w:val="Normal"/>
    <w:uiPriority w:val="34"/>
    <w:qFormat/>
    <w:rsid w:val="00E92461"/>
    <w:pPr>
      <w:ind w:left="720"/>
      <w:contextualSpacing/>
    </w:pPr>
    <w:rPr>
      <w:rFonts w:ascii="Palatino" w:hAnsi="Palatino"/>
    </w:rPr>
  </w:style>
  <w:style w:type="character" w:styleId="Hyperlink">
    <w:name w:val="Hyperlink"/>
    <w:basedOn w:val="DefaultParagraphFont"/>
    <w:semiHidden/>
    <w:rsid w:val="00272BC0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F71"/>
    <w:rPr>
      <w:lang w:val="en-US" w:eastAsia="en-US"/>
    </w:rPr>
  </w:style>
  <w:style w:type="character" w:styleId="Strong">
    <w:name w:val="Strong"/>
    <w:basedOn w:val="DefaultParagraphFont"/>
    <w:qFormat/>
    <w:rsid w:val="00E92461"/>
    <w:rPr>
      <w:b/>
      <w:bCs/>
    </w:rPr>
  </w:style>
  <w:style w:type="character" w:customStyle="1" w:styleId="TitleChar">
    <w:name w:val="Title Char"/>
    <w:aliases w:val="title Char"/>
    <w:basedOn w:val="DefaultParagraphFont"/>
    <w:link w:val="Title"/>
    <w:rsid w:val="0093629A"/>
    <w:rPr>
      <w:rFonts w:ascii="Palatino Linotype" w:hAnsi="Palatino Linotype" w:cs="Arial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ricourts.no/about/research-plan-2.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uricourts.no" TargetMode="External"/><Relationship Id="rId1" Type="http://schemas.openxmlformats.org/officeDocument/2006/relationships/hyperlink" Target="mailto:andreas.follesdal@jus.uio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f\Documents\z-keep\Templates\Templates-Word%202016\AF-MS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225E-0C2A-40BE-AAB2-0B042652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AF-MS-2019.dotx</Template>
  <TotalTime>306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Føllesdal</dc:creator>
  <cp:lastModifiedBy>Andreas Føllesdal</cp:lastModifiedBy>
  <cp:revision>44</cp:revision>
  <cp:lastPrinted>2007-06-22T07:08:00Z</cp:lastPrinted>
  <dcterms:created xsi:type="dcterms:W3CDTF">2019-01-21T13:41:00Z</dcterms:created>
  <dcterms:modified xsi:type="dcterms:W3CDTF">2019-07-07T06:40:00Z</dcterms:modified>
</cp:coreProperties>
</file>